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7C1" w:rsidRDefault="00046D31" w:rsidP="00046D31">
      <w:pPr>
        <w:pStyle w:val="Title"/>
      </w:pPr>
      <w:r>
        <w:t>Adventure Works Data Warehouse</w:t>
      </w:r>
    </w:p>
    <w:p w:rsidR="00046D31" w:rsidRDefault="00046D31" w:rsidP="00046D31">
      <w:pPr>
        <w:pStyle w:val="Subtitle"/>
      </w:pPr>
      <w:proofErr w:type="spellStart"/>
      <w:r>
        <w:t>AWDataWarehouse</w:t>
      </w:r>
      <w:proofErr w:type="spellEnd"/>
      <w:r>
        <w:t xml:space="preserve"> Physical Design</w:t>
      </w:r>
    </w:p>
    <w:p w:rsidR="00046D31" w:rsidRDefault="00046D31" w:rsidP="00046D31">
      <w:pPr>
        <w:pStyle w:val="Heading1"/>
      </w:pPr>
      <w:r>
        <w:t>Storage</w:t>
      </w:r>
    </w:p>
    <w:tbl>
      <w:tblPr>
        <w:tblStyle w:val="GridTable1Light-Accent1"/>
        <w:tblW w:w="0" w:type="auto"/>
        <w:tblLook w:val="04A0" w:firstRow="1" w:lastRow="0" w:firstColumn="1" w:lastColumn="0" w:noHBand="0" w:noVBand="1"/>
      </w:tblPr>
      <w:tblGrid>
        <w:gridCol w:w="1435"/>
        <w:gridCol w:w="3240"/>
        <w:gridCol w:w="4675"/>
      </w:tblGrid>
      <w:tr w:rsidR="00046D31" w:rsidTr="00046D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Pr>
          <w:p w:rsidR="00046D31" w:rsidRDefault="00046D31" w:rsidP="00046D31">
            <w:r>
              <w:t>Logical Drive</w:t>
            </w:r>
          </w:p>
        </w:tc>
        <w:tc>
          <w:tcPr>
            <w:tcW w:w="3240" w:type="dxa"/>
          </w:tcPr>
          <w:p w:rsidR="00046D31" w:rsidRDefault="00046D31" w:rsidP="00046D31">
            <w:pPr>
              <w:cnfStyle w:val="100000000000" w:firstRow="1" w:lastRow="0" w:firstColumn="0" w:lastColumn="0" w:oddVBand="0" w:evenVBand="0" w:oddHBand="0" w:evenHBand="0" w:firstRowFirstColumn="0" w:firstRowLastColumn="0" w:lastRowFirstColumn="0" w:lastRowLastColumn="0"/>
            </w:pPr>
            <w:r>
              <w:t>Usage</w:t>
            </w:r>
          </w:p>
        </w:tc>
        <w:tc>
          <w:tcPr>
            <w:tcW w:w="4675" w:type="dxa"/>
          </w:tcPr>
          <w:p w:rsidR="00046D31" w:rsidRDefault="00046D31" w:rsidP="00046D31">
            <w:pPr>
              <w:cnfStyle w:val="100000000000" w:firstRow="1" w:lastRow="0" w:firstColumn="0" w:lastColumn="0" w:oddVBand="0" w:evenVBand="0" w:oddHBand="0" w:evenHBand="0" w:firstRowFirstColumn="0" w:firstRowLastColumn="0" w:lastRowFirstColumn="0" w:lastRowLastColumn="0"/>
            </w:pPr>
            <w:r>
              <w:t>Notes</w:t>
            </w:r>
          </w:p>
        </w:tc>
      </w:tr>
      <w:tr w:rsidR="00046D31" w:rsidTr="00046D31">
        <w:tc>
          <w:tcPr>
            <w:cnfStyle w:val="001000000000" w:firstRow="0" w:lastRow="0" w:firstColumn="1" w:lastColumn="0" w:oddVBand="0" w:evenVBand="0" w:oddHBand="0" w:evenHBand="0" w:firstRowFirstColumn="0" w:firstRowLastColumn="0" w:lastRowFirstColumn="0" w:lastRowLastColumn="0"/>
            <w:tcW w:w="1435" w:type="dxa"/>
          </w:tcPr>
          <w:p w:rsidR="00046D31" w:rsidRDefault="00046D31" w:rsidP="00046D31">
            <w:r>
              <w:t>E:</w:t>
            </w:r>
          </w:p>
        </w:tc>
        <w:tc>
          <w:tcPr>
            <w:tcW w:w="3240" w:type="dxa"/>
          </w:tcPr>
          <w:p w:rsidR="00046D31" w:rsidRDefault="00046D31" w:rsidP="00046D31">
            <w:pPr>
              <w:cnfStyle w:val="000000000000" w:firstRow="0" w:lastRow="0" w:firstColumn="0" w:lastColumn="0" w:oddVBand="0" w:evenVBand="0" w:oddHBand="0" w:evenHBand="0" w:firstRowFirstColumn="0" w:firstRowLastColumn="0" w:lastRowFirstColumn="0" w:lastRowLastColumn="0"/>
            </w:pPr>
            <w:r>
              <w:t xml:space="preserve">Data Warehouse system and data table </w:t>
            </w:r>
            <w:proofErr w:type="spellStart"/>
            <w:r>
              <w:t>filegroups</w:t>
            </w:r>
            <w:proofErr w:type="spellEnd"/>
          </w:p>
        </w:tc>
        <w:tc>
          <w:tcPr>
            <w:tcW w:w="4675" w:type="dxa"/>
          </w:tcPr>
          <w:p w:rsidR="00046D31" w:rsidRDefault="00046D31" w:rsidP="00046D31">
            <w:pPr>
              <w:pStyle w:val="ListParagraph"/>
              <w:numPr>
                <w:ilvl w:val="0"/>
                <w:numId w:val="1"/>
              </w:numPr>
              <w:cnfStyle w:val="000000000000" w:firstRow="0" w:lastRow="0" w:firstColumn="0" w:lastColumn="0" w:oddVBand="0" w:evenVBand="0" w:oddHBand="0" w:evenHBand="0" w:firstRowFirstColumn="0" w:firstRowLastColumn="0" w:lastRowFirstColumn="0" w:lastRowLastColumn="0"/>
            </w:pPr>
            <w:r>
              <w:t xml:space="preserve">The system tables are in a dedicated </w:t>
            </w:r>
            <w:proofErr w:type="spellStart"/>
            <w:r>
              <w:t>filegroup</w:t>
            </w:r>
            <w:proofErr w:type="spellEnd"/>
            <w:r>
              <w:t xml:space="preserve"> to minimize fragmentation of data files.</w:t>
            </w:r>
          </w:p>
          <w:p w:rsidR="00046D31" w:rsidRDefault="00046D31" w:rsidP="00046D31">
            <w:pPr>
              <w:pStyle w:val="ListParagraph"/>
              <w:numPr>
                <w:ilvl w:val="0"/>
                <w:numId w:val="1"/>
              </w:numPr>
              <w:cnfStyle w:val="000000000000" w:firstRow="0" w:lastRow="0" w:firstColumn="0" w:lastColumn="0" w:oddVBand="0" w:evenVBand="0" w:oddHBand="0" w:evenHBand="0" w:firstRowFirstColumn="0" w:firstRowLastColumn="0" w:lastRowFirstColumn="0" w:lastRowLastColumn="0"/>
            </w:pPr>
            <w:r>
              <w:t xml:space="preserve">The data </w:t>
            </w:r>
            <w:proofErr w:type="spellStart"/>
            <w:r>
              <w:t>filegroup</w:t>
            </w:r>
            <w:proofErr w:type="spellEnd"/>
            <w:r>
              <w:t xml:space="preserve"> is initialized with a single file of 1GB, which should be large enough for the tables it will contain for the foreseeable future.</w:t>
            </w:r>
          </w:p>
        </w:tc>
      </w:tr>
      <w:tr w:rsidR="00046D31" w:rsidTr="00046D31">
        <w:tc>
          <w:tcPr>
            <w:cnfStyle w:val="001000000000" w:firstRow="0" w:lastRow="0" w:firstColumn="1" w:lastColumn="0" w:oddVBand="0" w:evenVBand="0" w:oddHBand="0" w:evenHBand="0" w:firstRowFirstColumn="0" w:firstRowLastColumn="0" w:lastRowFirstColumn="0" w:lastRowLastColumn="0"/>
            <w:tcW w:w="1435" w:type="dxa"/>
          </w:tcPr>
          <w:p w:rsidR="00046D31" w:rsidRDefault="00046D31" w:rsidP="00046D31">
            <w:r>
              <w:t>F:</w:t>
            </w:r>
          </w:p>
        </w:tc>
        <w:tc>
          <w:tcPr>
            <w:tcW w:w="3240" w:type="dxa"/>
          </w:tcPr>
          <w:p w:rsidR="00046D31" w:rsidRDefault="00046D31" w:rsidP="00046D31">
            <w:pPr>
              <w:cnfStyle w:val="000000000000" w:firstRow="0" w:lastRow="0" w:firstColumn="0" w:lastColumn="0" w:oddVBand="0" w:evenVBand="0" w:oddHBand="0" w:evenHBand="0" w:firstRowFirstColumn="0" w:firstRowLastColumn="0" w:lastRowFirstColumn="0" w:lastRowLastColumn="0"/>
            </w:pPr>
            <w:proofErr w:type="spellStart"/>
            <w:r>
              <w:t>Filegroups</w:t>
            </w:r>
            <w:proofErr w:type="spellEnd"/>
            <w:r>
              <w:t xml:space="preserve"> for the </w:t>
            </w:r>
            <w:proofErr w:type="spellStart"/>
            <w:r>
              <w:t>FactResellerSales</w:t>
            </w:r>
            <w:proofErr w:type="spellEnd"/>
            <w:r>
              <w:t xml:space="preserve"> table</w:t>
            </w:r>
          </w:p>
        </w:tc>
        <w:tc>
          <w:tcPr>
            <w:tcW w:w="4675" w:type="dxa"/>
          </w:tcPr>
          <w:p w:rsidR="00046D31" w:rsidRDefault="00046D31" w:rsidP="00046D31">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This table is likely to grow extremely large, and so it is assigned to a dedicated logical drive to avoid competing for space.</w:t>
            </w:r>
          </w:p>
        </w:tc>
      </w:tr>
      <w:tr w:rsidR="00046D31" w:rsidTr="00046D31">
        <w:tc>
          <w:tcPr>
            <w:cnfStyle w:val="001000000000" w:firstRow="0" w:lastRow="0" w:firstColumn="1" w:lastColumn="0" w:oddVBand="0" w:evenVBand="0" w:oddHBand="0" w:evenHBand="0" w:firstRowFirstColumn="0" w:firstRowLastColumn="0" w:lastRowFirstColumn="0" w:lastRowLastColumn="0"/>
            <w:tcW w:w="1435" w:type="dxa"/>
          </w:tcPr>
          <w:p w:rsidR="00046D31" w:rsidRDefault="00046D31" w:rsidP="00046D31">
            <w:r>
              <w:t>G:</w:t>
            </w:r>
          </w:p>
        </w:tc>
        <w:tc>
          <w:tcPr>
            <w:tcW w:w="3240" w:type="dxa"/>
          </w:tcPr>
          <w:p w:rsidR="00046D31" w:rsidRDefault="00046D31" w:rsidP="00046D31">
            <w:pPr>
              <w:cnfStyle w:val="000000000000" w:firstRow="0" w:lastRow="0" w:firstColumn="0" w:lastColumn="0" w:oddVBand="0" w:evenVBand="0" w:oddHBand="0" w:evenHBand="0" w:firstRowFirstColumn="0" w:firstRowLastColumn="0" w:lastRowFirstColumn="0" w:lastRowLastColumn="0"/>
            </w:pPr>
            <w:proofErr w:type="spellStart"/>
            <w:r>
              <w:t>Filegroups</w:t>
            </w:r>
            <w:proofErr w:type="spellEnd"/>
            <w:r>
              <w:t xml:space="preserve"> for the </w:t>
            </w:r>
            <w:proofErr w:type="spellStart"/>
            <w:r>
              <w:t>Fact</w:t>
            </w:r>
            <w:r>
              <w:t>Internet</w:t>
            </w:r>
            <w:r>
              <w:t>Sales</w:t>
            </w:r>
            <w:proofErr w:type="spellEnd"/>
            <w:r>
              <w:t xml:space="preserve"> table</w:t>
            </w:r>
          </w:p>
        </w:tc>
        <w:tc>
          <w:tcPr>
            <w:tcW w:w="4675" w:type="dxa"/>
          </w:tcPr>
          <w:p w:rsidR="00046D31" w:rsidRDefault="00046D31" w:rsidP="00046D31">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As above</w:t>
            </w:r>
          </w:p>
        </w:tc>
      </w:tr>
      <w:tr w:rsidR="00046D31" w:rsidTr="00046D31">
        <w:tc>
          <w:tcPr>
            <w:cnfStyle w:val="001000000000" w:firstRow="0" w:lastRow="0" w:firstColumn="1" w:lastColumn="0" w:oddVBand="0" w:evenVBand="0" w:oddHBand="0" w:evenHBand="0" w:firstRowFirstColumn="0" w:firstRowLastColumn="0" w:lastRowFirstColumn="0" w:lastRowLastColumn="0"/>
            <w:tcW w:w="1435" w:type="dxa"/>
          </w:tcPr>
          <w:p w:rsidR="00046D31" w:rsidRDefault="00046D31" w:rsidP="00046D31">
            <w:r>
              <w:t>H:</w:t>
            </w:r>
          </w:p>
        </w:tc>
        <w:tc>
          <w:tcPr>
            <w:tcW w:w="3240" w:type="dxa"/>
          </w:tcPr>
          <w:p w:rsidR="00046D31" w:rsidRDefault="00046D31" w:rsidP="00046D31">
            <w:pPr>
              <w:cnfStyle w:val="000000000000" w:firstRow="0" w:lastRow="0" w:firstColumn="0" w:lastColumn="0" w:oddVBand="0" w:evenVBand="0" w:oddHBand="0" w:evenHBand="0" w:firstRowFirstColumn="0" w:firstRowLastColumn="0" w:lastRowFirstColumn="0" w:lastRowLastColumn="0"/>
            </w:pPr>
            <w:r>
              <w:t>Staging database data files</w:t>
            </w:r>
          </w:p>
        </w:tc>
        <w:tc>
          <w:tcPr>
            <w:tcW w:w="4675" w:type="dxa"/>
          </w:tcPr>
          <w:p w:rsidR="00046D31" w:rsidRDefault="00046D31" w:rsidP="00046D31">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A separate staging database is used, and its data files are stored on a dedicated logical disk to minimize the effects of fragmentation and I/O on the data warehouse data and activity.</w:t>
            </w:r>
          </w:p>
        </w:tc>
      </w:tr>
      <w:tr w:rsidR="00046D31" w:rsidTr="00046D31">
        <w:tc>
          <w:tcPr>
            <w:cnfStyle w:val="001000000000" w:firstRow="0" w:lastRow="0" w:firstColumn="1" w:lastColumn="0" w:oddVBand="0" w:evenVBand="0" w:oddHBand="0" w:evenHBand="0" w:firstRowFirstColumn="0" w:firstRowLastColumn="0" w:lastRowFirstColumn="0" w:lastRowLastColumn="0"/>
            <w:tcW w:w="1435" w:type="dxa"/>
          </w:tcPr>
          <w:p w:rsidR="00046D31" w:rsidRDefault="00046D31" w:rsidP="00046D31">
            <w:r>
              <w:t>I:</w:t>
            </w:r>
          </w:p>
        </w:tc>
        <w:tc>
          <w:tcPr>
            <w:tcW w:w="3240" w:type="dxa"/>
          </w:tcPr>
          <w:p w:rsidR="00046D31" w:rsidRDefault="00460940" w:rsidP="00046D31">
            <w:pPr>
              <w:cnfStyle w:val="000000000000" w:firstRow="0" w:lastRow="0" w:firstColumn="0" w:lastColumn="0" w:oddVBand="0" w:evenVBand="0" w:oddHBand="0" w:evenHBand="0" w:firstRowFirstColumn="0" w:firstRowLastColumn="0" w:lastRowFirstColumn="0" w:lastRowLastColumn="0"/>
            </w:pPr>
            <w:proofErr w:type="spellStart"/>
            <w:r>
              <w:t>TempDB</w:t>
            </w:r>
            <w:proofErr w:type="spellEnd"/>
            <w:r>
              <w:t xml:space="preserve"> data files</w:t>
            </w:r>
          </w:p>
        </w:tc>
        <w:tc>
          <w:tcPr>
            <w:tcW w:w="4675" w:type="dxa"/>
          </w:tcPr>
          <w:p w:rsidR="00046D31" w:rsidRDefault="00460940" w:rsidP="00046D31">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proofErr w:type="spellStart"/>
            <w:r>
              <w:t>TempDb</w:t>
            </w:r>
            <w:proofErr w:type="spellEnd"/>
            <w:r>
              <w:t xml:space="preserve"> is given its own logical disk to minimize the effect of fragmentation on the data warehouse while enabling fast I/O to a suitable pre-sized </w:t>
            </w:r>
            <w:proofErr w:type="spellStart"/>
            <w:r>
              <w:t>TempDB</w:t>
            </w:r>
            <w:proofErr w:type="spellEnd"/>
            <w:r>
              <w:t>.</w:t>
            </w:r>
          </w:p>
        </w:tc>
      </w:tr>
      <w:tr w:rsidR="00460940" w:rsidTr="00046D31">
        <w:tc>
          <w:tcPr>
            <w:cnfStyle w:val="001000000000" w:firstRow="0" w:lastRow="0" w:firstColumn="1" w:lastColumn="0" w:oddVBand="0" w:evenVBand="0" w:oddHBand="0" w:evenHBand="0" w:firstRowFirstColumn="0" w:firstRowLastColumn="0" w:lastRowFirstColumn="0" w:lastRowLastColumn="0"/>
            <w:tcW w:w="1435" w:type="dxa"/>
          </w:tcPr>
          <w:p w:rsidR="00460940" w:rsidRDefault="00460940" w:rsidP="00046D31">
            <w:r>
              <w:t>J:</w:t>
            </w:r>
          </w:p>
        </w:tc>
        <w:tc>
          <w:tcPr>
            <w:tcW w:w="3240" w:type="dxa"/>
          </w:tcPr>
          <w:p w:rsidR="00460940" w:rsidRDefault="00460940" w:rsidP="00046D31">
            <w:pPr>
              <w:cnfStyle w:val="000000000000" w:firstRow="0" w:lastRow="0" w:firstColumn="0" w:lastColumn="0" w:oddVBand="0" w:evenVBand="0" w:oddHBand="0" w:evenHBand="0" w:firstRowFirstColumn="0" w:firstRowLastColumn="0" w:lastRowFirstColumn="0" w:lastRowLastColumn="0"/>
            </w:pPr>
            <w:r>
              <w:t>Database log files</w:t>
            </w:r>
          </w:p>
        </w:tc>
        <w:tc>
          <w:tcPr>
            <w:tcW w:w="4675" w:type="dxa"/>
          </w:tcPr>
          <w:p w:rsidR="00460940" w:rsidRDefault="00460940" w:rsidP="00046D31">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 xml:space="preserve">The </w:t>
            </w:r>
            <w:proofErr w:type="spellStart"/>
            <w:r>
              <w:t>logfiles</w:t>
            </w:r>
            <w:proofErr w:type="spellEnd"/>
            <w:r>
              <w:t xml:space="preserve"> for </w:t>
            </w:r>
            <w:proofErr w:type="spellStart"/>
            <w:r>
              <w:t>tempDB</w:t>
            </w:r>
            <w:proofErr w:type="spellEnd"/>
            <w:r>
              <w:t>, the Staging database, and the data warehouse are stored on this drive to isolate log activity from data I/O.</w:t>
            </w:r>
          </w:p>
        </w:tc>
      </w:tr>
      <w:tr w:rsidR="00460940" w:rsidTr="00046D31">
        <w:tc>
          <w:tcPr>
            <w:cnfStyle w:val="001000000000" w:firstRow="0" w:lastRow="0" w:firstColumn="1" w:lastColumn="0" w:oddVBand="0" w:evenVBand="0" w:oddHBand="0" w:evenHBand="0" w:firstRowFirstColumn="0" w:firstRowLastColumn="0" w:lastRowFirstColumn="0" w:lastRowLastColumn="0"/>
            <w:tcW w:w="1435" w:type="dxa"/>
          </w:tcPr>
          <w:p w:rsidR="00460940" w:rsidRDefault="00460940" w:rsidP="00046D31">
            <w:r>
              <w:t>K:</w:t>
            </w:r>
          </w:p>
        </w:tc>
        <w:tc>
          <w:tcPr>
            <w:tcW w:w="3240" w:type="dxa"/>
          </w:tcPr>
          <w:p w:rsidR="00460940" w:rsidRDefault="00460940" w:rsidP="00046D31">
            <w:pPr>
              <w:cnfStyle w:val="000000000000" w:firstRow="0" w:lastRow="0" w:firstColumn="0" w:lastColumn="0" w:oddVBand="0" w:evenVBand="0" w:oddHBand="0" w:evenHBand="0" w:firstRowFirstColumn="0" w:firstRowLastColumn="0" w:lastRowFirstColumn="0" w:lastRowLastColumn="0"/>
            </w:pPr>
            <w:r>
              <w:t>Backup volume</w:t>
            </w:r>
          </w:p>
        </w:tc>
        <w:tc>
          <w:tcPr>
            <w:tcW w:w="4675" w:type="dxa"/>
          </w:tcPr>
          <w:p w:rsidR="00460940" w:rsidRDefault="00460940" w:rsidP="00046D31">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This logical drive will be used for backup file storage</w:t>
            </w:r>
          </w:p>
        </w:tc>
      </w:tr>
      <w:tr w:rsidR="00460940" w:rsidTr="00046D31">
        <w:tc>
          <w:tcPr>
            <w:cnfStyle w:val="001000000000" w:firstRow="0" w:lastRow="0" w:firstColumn="1" w:lastColumn="0" w:oddVBand="0" w:evenVBand="0" w:oddHBand="0" w:evenHBand="0" w:firstRowFirstColumn="0" w:firstRowLastColumn="0" w:lastRowFirstColumn="0" w:lastRowLastColumn="0"/>
            <w:tcW w:w="1435" w:type="dxa"/>
          </w:tcPr>
          <w:p w:rsidR="00460940" w:rsidRDefault="00460940" w:rsidP="00046D31">
            <w:r>
              <w:t>L:</w:t>
            </w:r>
          </w:p>
        </w:tc>
        <w:tc>
          <w:tcPr>
            <w:tcW w:w="3240" w:type="dxa"/>
          </w:tcPr>
          <w:p w:rsidR="00460940" w:rsidRDefault="00460940" w:rsidP="00046D31">
            <w:pPr>
              <w:cnfStyle w:val="000000000000" w:firstRow="0" w:lastRow="0" w:firstColumn="0" w:lastColumn="0" w:oddVBand="0" w:evenVBand="0" w:oddHBand="0" w:evenHBand="0" w:firstRowFirstColumn="0" w:firstRowLastColumn="0" w:lastRowFirstColumn="0" w:lastRowLastColumn="0"/>
            </w:pPr>
            <w:r>
              <w:t>Unused</w:t>
            </w:r>
          </w:p>
        </w:tc>
        <w:tc>
          <w:tcPr>
            <w:tcW w:w="4675" w:type="dxa"/>
          </w:tcPr>
          <w:p w:rsidR="00460940" w:rsidRDefault="00460940" w:rsidP="00046D31">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p>
        </w:tc>
      </w:tr>
      <w:tr w:rsidR="00460940" w:rsidTr="00046D31">
        <w:tc>
          <w:tcPr>
            <w:cnfStyle w:val="001000000000" w:firstRow="0" w:lastRow="0" w:firstColumn="1" w:lastColumn="0" w:oddVBand="0" w:evenVBand="0" w:oddHBand="0" w:evenHBand="0" w:firstRowFirstColumn="0" w:firstRowLastColumn="0" w:lastRowFirstColumn="0" w:lastRowLastColumn="0"/>
            <w:tcW w:w="1435" w:type="dxa"/>
          </w:tcPr>
          <w:p w:rsidR="00460940" w:rsidRDefault="00460940" w:rsidP="00046D31">
            <w:r>
              <w:t>M:</w:t>
            </w:r>
          </w:p>
        </w:tc>
        <w:tc>
          <w:tcPr>
            <w:tcW w:w="3240" w:type="dxa"/>
          </w:tcPr>
          <w:p w:rsidR="00460940" w:rsidRDefault="00460940" w:rsidP="00046D31">
            <w:pPr>
              <w:cnfStyle w:val="000000000000" w:firstRow="0" w:lastRow="0" w:firstColumn="0" w:lastColumn="0" w:oddVBand="0" w:evenVBand="0" w:oddHBand="0" w:evenHBand="0" w:firstRowFirstColumn="0" w:firstRowLastColumn="0" w:lastRowFirstColumn="0" w:lastRowLastColumn="0"/>
            </w:pPr>
            <w:r>
              <w:t>Unused</w:t>
            </w:r>
          </w:p>
        </w:tc>
        <w:tc>
          <w:tcPr>
            <w:tcW w:w="4675" w:type="dxa"/>
          </w:tcPr>
          <w:p w:rsidR="00460940" w:rsidRDefault="00460940" w:rsidP="00046D31">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p>
        </w:tc>
      </w:tr>
      <w:tr w:rsidR="00460940" w:rsidTr="00046D31">
        <w:tc>
          <w:tcPr>
            <w:cnfStyle w:val="001000000000" w:firstRow="0" w:lastRow="0" w:firstColumn="1" w:lastColumn="0" w:oddVBand="0" w:evenVBand="0" w:oddHBand="0" w:evenHBand="0" w:firstRowFirstColumn="0" w:firstRowLastColumn="0" w:lastRowFirstColumn="0" w:lastRowLastColumn="0"/>
            <w:tcW w:w="1435" w:type="dxa"/>
          </w:tcPr>
          <w:p w:rsidR="00460940" w:rsidRDefault="00460940" w:rsidP="00046D31">
            <w:r>
              <w:t>N:</w:t>
            </w:r>
          </w:p>
        </w:tc>
        <w:tc>
          <w:tcPr>
            <w:tcW w:w="3240" w:type="dxa"/>
          </w:tcPr>
          <w:p w:rsidR="00460940" w:rsidRDefault="00460940" w:rsidP="00046D31">
            <w:pPr>
              <w:cnfStyle w:val="000000000000" w:firstRow="0" w:lastRow="0" w:firstColumn="0" w:lastColumn="0" w:oddVBand="0" w:evenVBand="0" w:oddHBand="0" w:evenHBand="0" w:firstRowFirstColumn="0" w:firstRowLastColumn="0" w:lastRowFirstColumn="0" w:lastRowLastColumn="0"/>
            </w:pPr>
            <w:r>
              <w:t>Unused</w:t>
            </w:r>
          </w:p>
        </w:tc>
        <w:tc>
          <w:tcPr>
            <w:tcW w:w="4675" w:type="dxa"/>
          </w:tcPr>
          <w:p w:rsidR="00460940" w:rsidRDefault="00460940" w:rsidP="00046D31">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p>
        </w:tc>
      </w:tr>
    </w:tbl>
    <w:p w:rsidR="00046D31" w:rsidRDefault="00046D31" w:rsidP="00046D31"/>
    <w:p w:rsidR="003D724F" w:rsidRDefault="003D724F">
      <w:pPr>
        <w:rPr>
          <w:rFonts w:asciiTheme="majorHAnsi" w:eastAsiaTheme="majorEastAsia" w:hAnsiTheme="majorHAnsi" w:cstheme="majorBidi"/>
          <w:color w:val="2E74B5" w:themeColor="accent1" w:themeShade="BF"/>
          <w:sz w:val="32"/>
          <w:szCs w:val="32"/>
        </w:rPr>
      </w:pPr>
      <w:r>
        <w:br w:type="page"/>
      </w:r>
    </w:p>
    <w:p w:rsidR="00046D31" w:rsidRDefault="003D724F" w:rsidP="003D724F">
      <w:pPr>
        <w:pStyle w:val="Heading1"/>
      </w:pPr>
      <w:r>
        <w:lastRenderedPageBreak/>
        <w:t>Partitioning</w:t>
      </w:r>
    </w:p>
    <w:p w:rsidR="003D724F" w:rsidRDefault="003D724F" w:rsidP="003D724F">
      <w:r>
        <w:t xml:space="preserve">The </w:t>
      </w:r>
      <w:proofErr w:type="spellStart"/>
      <w:r w:rsidRPr="003D724F">
        <w:rPr>
          <w:b/>
        </w:rPr>
        <w:t>FactResellerSales</w:t>
      </w:r>
      <w:proofErr w:type="spellEnd"/>
      <w:r>
        <w:t xml:space="preserve"> and </w:t>
      </w:r>
      <w:proofErr w:type="spellStart"/>
      <w:r w:rsidRPr="003D724F">
        <w:rPr>
          <w:b/>
        </w:rPr>
        <w:t>FactInternetSales</w:t>
      </w:r>
      <w:proofErr w:type="spellEnd"/>
      <w:r>
        <w:t xml:space="preserve"> tables are partitioned on the </w:t>
      </w:r>
      <w:proofErr w:type="spellStart"/>
      <w:r w:rsidRPr="003D724F">
        <w:rPr>
          <w:b/>
        </w:rPr>
        <w:t>ShipDateKey</w:t>
      </w:r>
      <w:proofErr w:type="spellEnd"/>
      <w:r>
        <w:t xml:space="preserve"> column. This column was chosen because reseller orders are not considered complete until shipped, so it is reasonable to assume that the ship date is used as the cut off for each month’s orders. For consistency, the same key is used for Internet sales.</w:t>
      </w:r>
    </w:p>
    <w:p w:rsidR="003D724F" w:rsidRDefault="003D724F" w:rsidP="003D724F">
      <w:r>
        <w:t>Orders for the current year are partitioned into monthly partitions, as this is likely to reflect the ETL load frequency. Orders from previous years are merged to form a single partition per year, as this reduces management complexity.</w:t>
      </w:r>
    </w:p>
    <w:p w:rsidR="003D724F" w:rsidRDefault="003D724F" w:rsidP="003D724F">
      <w:pPr>
        <w:pStyle w:val="Heading1"/>
      </w:pPr>
      <w:r>
        <w:t>Indexes</w:t>
      </w:r>
    </w:p>
    <w:p w:rsidR="003D724F" w:rsidRDefault="003D724F" w:rsidP="003D724F">
      <w:r>
        <w:t>The dimension tables each have a clustered index on the surrogate key and a non-clustered index on the alternate key, which includes SCD metadata columns where they exist. Additional non-clustered indexes are created on attribute columns that are likely to be queried frequently.</w:t>
      </w:r>
    </w:p>
    <w:p w:rsidR="003D724F" w:rsidRDefault="003D724F" w:rsidP="003D724F">
      <w:r>
        <w:t>The smaller fact tables have a clustered index on the most commonly queried date key, and non-clustered indexes on other dimension key columns.</w:t>
      </w:r>
      <w:bookmarkStart w:id="0" w:name="_GoBack"/>
      <w:bookmarkEnd w:id="0"/>
    </w:p>
    <w:p w:rsidR="003D724F" w:rsidRDefault="003D724F" w:rsidP="003D724F">
      <w:r>
        <w:t xml:space="preserve">The two larger (partitioned) fact tables both have </w:t>
      </w:r>
      <w:proofErr w:type="spellStart"/>
      <w:r>
        <w:t>col</w:t>
      </w:r>
      <w:r w:rsidR="0030515A">
        <w:t>umnstore</w:t>
      </w:r>
      <w:proofErr w:type="spellEnd"/>
      <w:r w:rsidR="0030515A">
        <w:t xml:space="preserve"> indexes on all columns to maximize query performance.</w:t>
      </w:r>
    </w:p>
    <w:p w:rsidR="0030515A" w:rsidRDefault="0030515A" w:rsidP="0030515A">
      <w:pPr>
        <w:pStyle w:val="Heading1"/>
      </w:pPr>
      <w:r>
        <w:t>Compression</w:t>
      </w:r>
    </w:p>
    <w:p w:rsidR="0030515A" w:rsidRDefault="0030515A" w:rsidP="003D724F">
      <w:r>
        <w:t>The larger fact tables are compressed using PAGE compression for all partitions.</w:t>
      </w:r>
    </w:p>
    <w:p w:rsidR="0030515A" w:rsidRDefault="0030515A" w:rsidP="0030515A">
      <w:pPr>
        <w:pStyle w:val="Heading1"/>
      </w:pPr>
      <w:r>
        <w:t>Views</w:t>
      </w:r>
    </w:p>
    <w:p w:rsidR="0030515A" w:rsidRDefault="0030515A" w:rsidP="003D724F">
      <w:r>
        <w:t xml:space="preserve">Each table has a matching view in the </w:t>
      </w:r>
      <w:proofErr w:type="spellStart"/>
      <w:r w:rsidRPr="0030515A">
        <w:rPr>
          <w:b/>
        </w:rPr>
        <w:t>dw_views</w:t>
      </w:r>
      <w:proofErr w:type="spellEnd"/>
      <w:r>
        <w:t xml:space="preserve"> schema. These views have user-friendly names and use the NOLOCK query hint to minimize locking.</w:t>
      </w:r>
    </w:p>
    <w:p w:rsidR="0030515A" w:rsidRDefault="0030515A" w:rsidP="003D724F"/>
    <w:p w:rsidR="003D724F" w:rsidRDefault="003D724F" w:rsidP="003D724F"/>
    <w:p w:rsidR="003D724F" w:rsidRPr="003D724F" w:rsidRDefault="003D724F" w:rsidP="003D724F"/>
    <w:sectPr w:rsidR="003D724F" w:rsidRPr="003D72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F859F4"/>
    <w:multiLevelType w:val="hybridMultilevel"/>
    <w:tmpl w:val="654A2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5160BA"/>
    <w:multiLevelType w:val="hybridMultilevel"/>
    <w:tmpl w:val="34EEF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D76"/>
    <w:rsid w:val="00046D31"/>
    <w:rsid w:val="0030515A"/>
    <w:rsid w:val="003D724F"/>
    <w:rsid w:val="00460940"/>
    <w:rsid w:val="00841D76"/>
    <w:rsid w:val="00F427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07F66B-FBB6-4972-BF32-270F4106B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46D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D31"/>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046D31"/>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046D31"/>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046D31"/>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046D31"/>
    <w:rPr>
      <w:rFonts w:eastAsiaTheme="minorEastAsia"/>
      <w:color w:val="5A5A5A" w:themeColor="text1" w:themeTint="A5"/>
      <w:spacing w:val="15"/>
    </w:rPr>
  </w:style>
  <w:style w:type="table" w:styleId="TableGrid">
    <w:name w:val="Table Grid"/>
    <w:basedOn w:val="TableNormal"/>
    <w:uiPriority w:val="39"/>
    <w:rsid w:val="00046D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1Light-Accent1">
    <w:name w:val="Grid Table 1 Light Accent 1"/>
    <w:basedOn w:val="TableNormal"/>
    <w:uiPriority w:val="46"/>
    <w:rsid w:val="00046D31"/>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29" w:type="dxa"/>
        <w:left w:w="108" w:type="dxa"/>
        <w:bottom w:w="29"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ListParagraph">
    <w:name w:val="List Paragraph"/>
    <w:basedOn w:val="Normal"/>
    <w:uiPriority w:val="34"/>
    <w:qFormat/>
    <w:rsid w:val="00046D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397</Words>
  <Characters>2266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3</cp:revision>
  <dcterms:created xsi:type="dcterms:W3CDTF">2012-10-12T17:43:00Z</dcterms:created>
  <dcterms:modified xsi:type="dcterms:W3CDTF">2012-10-12T18:07:00Z</dcterms:modified>
</cp:coreProperties>
</file>